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07111F" w:val="clear"/>
          </w:tcPr>
          <w:p>
            <w:pPr>
              <w:spacing w:before="160" w:after="160"/>
              <w:jc w:val="left"/>
            </w:pPr>
            <w:r>
              <w:rPr>
                <w:rFonts w:ascii="Calibri" w:hAnsi="Calibri" w:eastAsia="Calibri"/>
                <w:b w:val="0"/>
                <w:color w:val="A5F3FC"/>
                <w:sz w:val="20"/>
              </w:rPr>
              <w:t>https://stat.nmiczd.ru/</w:t>
              <w:br/>
            </w:r>
            <w:r>
              <w:rPr>
                <w:rFonts w:ascii="Calibri" w:hAnsi="Calibri" w:eastAsia="Calibri"/>
                <w:b/>
                <w:color w:val="FFFFFF"/>
                <w:sz w:val="36"/>
              </w:rPr>
              <w:t>Статистические формы — статистическая аналитика</w:t>
            </w:r>
          </w:p>
        </w:tc>
      </w:tr>
    </w:tbl>
    <w:p>
      <w:pPr>
        <w:spacing w:after="280"/>
        <w:jc w:val="left"/>
      </w:pPr>
      <w:r>
        <w:rPr>
          <w:rFonts w:ascii="Calibri" w:hAnsi="Calibri" w:eastAsia="Calibri"/>
          <w:b w:val="0"/>
          <w:color w:val="64748B"/>
          <w:sz w:val="20"/>
        </w:rPr>
        <w:t>Категория: Аналитика    •    Мониторинг проектов НМИЦ</w:t>
      </w:r>
    </w:p>
    <w:p>
      <w:pPr>
        <w:spacing w:after="200"/>
        <w:pBdr>
          <w:bottom w:val="single" w:sz="8" w:space="1" w:color="06B6D4"/>
        </w:pBdr>
      </w:pP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Назначение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Statforms создан для перевода статистической отчётности медицинских организаций из разрозненных документов в единую проверенную базу показателей. Система работает с официальными формами стационарной статистики — F12, F14, F19 и F30 — и извлекает числовые значения вместе с точной семантикой: строка, графа, таблица, отчётный период. Сейчас основной упор сделан на разработку сложного ядра: семантического каталога, конвейера извлечения и аналитического хранилища. Полноценного пользовательского интерфейса пока нет — он запланирован как следующий этап. В перспективе это будет приложение, где специалист сможет формировать статистические выборки по любым параметрам в пределах выбранного региона, с широкими настройками фильтров.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Контекст использования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Приложение ориентировано на методистов, врачей-статистиков, аналитиков и руководителей, которым нужны достоверные цифры по регионам и РФ. Система принимает региональные отчёты в формате docx, сопоставляет каждую ячейку с xml-тегом и текстовой расшифровкой, нормализует значения и складывает результат в единое хранилище. В базе уже собраны данные по 965 территориям за 2019–2024 годы; для контроля качества предусмотрены proof-запросы и пакеты для экспертной проверки. Архитектура рассчитана на разграничение доступа: планируются тонкие роли, и каждому региону будет предоставлен доступ к своим данным и разрешённым срезам.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Архитектура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Решение построено как управляемый конвейер на Python с локальным хранилищем DuckDB. Ядро включает модули извлечения, семантического каталога, верификации и аналитических витрин. Данные хранятся отдельно от кода; для аналитики используются представления с показателями, безопасными для суммирования. Подготовлен прототип «цифрового паспорта региона» — он показывает происхождение цифры и связь с исходной формой, но не заменяет будущий интерфейс. Такая архитектура позволяет наращивать охват форм и лет без перестройки системы и создаёт основу для веб-интерфейса и сервисов доступа.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Основной функционал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Statforms автоматически извлекает миллионы значений из тысяч региональных отчётов, сохраняет xml-тег и расшифровку каждого показателя, различает явные числа, пустые ячейки и служебные маркеры. Формируются аналитические витрины, в том числе по детской хирургии, поддерживается сверка показателей РФ с субъектами и экспорт материалов для экспертной оценки. Специалист может получить ответ на прикладной вопрос — например, число коек или кадровых показателей по региону и году — с указанием точного тега и контекста ячейки. Конвейер поддерживает возобновление обработки и автоматическую регрессионную проверку ключевых показателей.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Итоговый результат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На выходе формируется единая база показателей с прозрачным происхождением каждой цифры: форма, год, территория, строка, графа, xml-тег и словесная расшифровка. Дополнительно готовятся выгрузки по запросам, словари тегов, пакеты для проверки качества и аналитические срезы. Организация переходит от ручного поиска в документах к структурированному источнику данных для отчётности, методической работы и решений.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Практическая польза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Statforms снимает значительную часть ручной нагрузки: не нужно каждый раз открывать сотни файлов и сверять однотипные таблицы. Организация получает единый источник показателей с понятными правилами агрегации — пустая ячейка не трактуется как ноль, служебный маркер не подменяет единицу, вложенные строки учитываются корректно. Это повышает прозрачность и позволяет быстро отвечать на аналитические запросы.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Сильные стороны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Проект опирается на семантический каталог по всем четырём формам и воспроизводимый конвейер с автоматической верификацией. Масштаб достигнут на практике: более 16 миллионов записей, свыше пяти миллионов показателей для агрегирования, сотни территорий и несколько отчётных лет. Архитектура допускает развитие — новые годы и формы, расширение витрин, ролевая модель и полноценный интерфейс. Система проектировалась как инструмент, который врач-методист может перепроверить по контрольным показателям, а не как «чёрный ящик».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Statforms — зрелое аналитическое ядро для медицинской статистики, которое уже превращает массив региональных отчётов в структурированную базу с понятной семантикой. Следующий шаг — пользовательский интерфейс с гибкими выборками по регионам и настраиваемыми правами доступа. Для организации это путь к единому, управляемому и проверяемому источнику данных, связанному с первичной отчётностью. Приложение будет располагаться здесь - https://stat.nmiczd.ru/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347472" cy="34747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2" cy="347472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475488" cy="4754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