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https://zz.nmiczd.ru/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Здоровьесбережение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Профосмотры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Название и назначение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Веб-платформа для организации профилактических медицинских осмотров в образовательных организациях. Система связывает поликлиники, школы, сотрудников медицинского профиля и респондентов в единый цифровой контур: от публикации анкеты и запуска кампании до получения персональных рекомендаций и просмотра результатов в разрезе организации. Решение ориентировано на масштабируемую федеральную модель с возможностью дальнейшего развития по регионам.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Контекст использования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Платформой пользуются операторы поликлиник, региональные и федеральные администраторы, школьные медработники и респонденты — родители или дети, переходящие по персональной ссылке на анкету. Типичный сценарий включает регистрацию образовательной организации, публикацию версии анкеты, запуск кампании по срокам и аудитории, заполнение формы респондентом, автоматический расчёт рекомендаций и просмотр карточки ребёнка сотрудником школы в пределах своих прав доступа.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Проект реализован как модульный monorepo: backend на NestJS, два веб-контура на Next.js для сотрудников и респондентов, общие пакеты доменной модели, безопасности и конфигурации. Данные хранятся в PostgreSQL, для фоновых задач используются Redis и RabbitMQ. Production-развёртывание выполнено в Docker с nginx в качестве reverse proxy, TLS на внешнем контуре и health-check API. Архитектура разделена на доменные модули: идентификация, реестр организаций, каталог анкет, кампании, приём ответов, расчёт рекомендаций, просмотр результатов и аудит.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Основной функционал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Регистрация поликлиник и образовательных организаций, управление ролями и учётными записями сотрудников. Каталог версий анкет с публикацией и условной логикой вопросов. Запуск кампаний по срокам и списку получателей с персональными одноразовыми ссылками. Публичная форма для респондента с раздельным хранением персональных данных и ответов. Расчёт рекомендаций по таблице правил, просмотр результатов школьным медработником, базовый аудит обращений и экспорт материалов в Excel.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 работы приложения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На выходе формируется заполненная анкета с рассчитанными рекомендациями, карточка ребёнка для уполномоченного сотрудника и аудируемая история кампании. Для организации это переход от разрозненных бумажных и табличных процессов к управляемому цифровому циклу профилактического осмотра с понятными правами доступа.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Платформа снижает ручную нагрузку на медработников школ и поликлиник, ускоряет запуск кампаний, делает рекомендации воспроизводимыми и повышает прозрачность работы с персональными данными. Для учреждения важны централизованный каталог анкет, разграничение доступа по организациям и задел для масштабирования на новые регионы и сценарии осмотра.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Модульная серверная архитектура, отдельные контуры для сотрудников и респондентов, продуманная модель безопасности с прикладным шифрованием персональных данных, неизменяемым аудитом и разделением ПДн и медицинского контекста. Интерфейс сотрудников выполнен на PatternFly в едином медицинском стиле. Система уже развёрнута в production и допускает поэтапное наращивание аналитики и интеграций.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Краткий 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Платформа на zz.nmiczd.ru — рабочий инструмент для цифровой организации профилактических медицинских осмотров в школах. Она объединяет анкетирование, рекомендации и контроль результатов в одном защищённом контуре и создаёт основу для федерального масштабирования процесса профосмотров.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